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55" w:rsidRDefault="00E83E55" w:rsidP="00E83E55">
      <w:pPr>
        <w:jc w:val="center"/>
        <w:rPr>
          <w:rFonts w:ascii="方正小标宋简体" w:eastAsia="方正小标宋简体" w:hint="eastAsia"/>
          <w:sz w:val="44"/>
          <w:szCs w:val="44"/>
        </w:rPr>
      </w:pPr>
      <w:r w:rsidRPr="00E83E55">
        <w:rPr>
          <w:rFonts w:ascii="方正小标宋简体" w:eastAsia="方正小标宋简体" w:hint="eastAsia"/>
          <w:sz w:val="44"/>
          <w:szCs w:val="44"/>
        </w:rPr>
        <w:t>辽宁省教授、研究员级高级工程师、高级农艺师任职资格评审标准</w:t>
      </w:r>
    </w:p>
    <w:p w:rsidR="009B2A0B" w:rsidRDefault="009B2A0B" w:rsidP="009B2A0B">
      <w:pPr>
        <w:jc w:val="center"/>
        <w:rPr>
          <w:rFonts w:ascii="Times New Roman" w:eastAsia="仿宋_GB2312" w:hAnsi="Times New Roman" w:hint="eastAsia"/>
          <w:sz w:val="32"/>
          <w:szCs w:val="32"/>
        </w:rPr>
      </w:pPr>
      <w:r w:rsidRPr="000E71FC">
        <w:rPr>
          <w:rFonts w:ascii="Times New Roman" w:eastAsia="仿宋_GB2312" w:hAnsi="Times New Roman" w:hint="eastAsia"/>
          <w:sz w:val="32"/>
          <w:szCs w:val="32"/>
        </w:rPr>
        <w:t>（辽人〔</w:t>
      </w:r>
      <w:r w:rsidRPr="000E71FC">
        <w:rPr>
          <w:rFonts w:ascii="Times New Roman" w:eastAsia="仿宋_GB2312" w:hAnsi="Times New Roman"/>
          <w:sz w:val="32"/>
          <w:szCs w:val="32"/>
        </w:rPr>
        <w:t>2007</w:t>
      </w:r>
      <w:r w:rsidRPr="000E71FC">
        <w:rPr>
          <w:rFonts w:ascii="Times New Roman" w:eastAsia="仿宋_GB2312" w:hAnsi="Times New Roman" w:hint="eastAsia"/>
          <w:sz w:val="32"/>
          <w:szCs w:val="32"/>
        </w:rPr>
        <w:t>〕</w:t>
      </w:r>
      <w:r w:rsidRPr="000E71FC">
        <w:rPr>
          <w:rFonts w:ascii="Times New Roman" w:eastAsia="仿宋_GB2312" w:hAnsi="Times New Roman"/>
          <w:sz w:val="32"/>
          <w:szCs w:val="32"/>
        </w:rPr>
        <w:t>38</w:t>
      </w:r>
      <w:r w:rsidRPr="000E71FC">
        <w:rPr>
          <w:rFonts w:ascii="Times New Roman" w:eastAsia="仿宋_GB2312" w:hAnsi="Times New Roman" w:hint="eastAsia"/>
          <w:sz w:val="32"/>
          <w:szCs w:val="32"/>
        </w:rPr>
        <w:t>号）</w:t>
      </w:r>
    </w:p>
    <w:p w:rsidR="00E83E55" w:rsidRPr="00E83E55" w:rsidRDefault="00E83E55" w:rsidP="00E83E55">
      <w:pPr>
        <w:rPr>
          <w:rFonts w:ascii="仿宋" w:eastAsia="仿宋" w:hAnsi="仿宋"/>
          <w:sz w:val="32"/>
          <w:szCs w:val="32"/>
        </w:rPr>
      </w:pPr>
      <w:r w:rsidRPr="00E83E55">
        <w:rPr>
          <w:rFonts w:ascii="仿宋" w:eastAsia="仿宋" w:hAnsi="仿宋"/>
          <w:sz w:val="32"/>
          <w:szCs w:val="32"/>
        </w:rPr>
        <w:t>为落实科学人才观，客观公正评价工程、农业系列专业技术人员的能力和水平，鼓励专业技术人员多出成果和技术创新，支持辽宁老工业基地振兴，结合我省实际，制定本评审标准。</w:t>
      </w:r>
    </w:p>
    <w:p w:rsidR="00E83E55" w:rsidRPr="00E83E55" w:rsidRDefault="00E83E55" w:rsidP="00E83E55">
      <w:pPr>
        <w:rPr>
          <w:rFonts w:ascii="仿宋" w:eastAsia="仿宋" w:hAnsi="仿宋"/>
          <w:sz w:val="32"/>
          <w:szCs w:val="32"/>
        </w:rPr>
      </w:pPr>
      <w:r w:rsidRPr="00E83E55">
        <w:rPr>
          <w:rFonts w:ascii="仿宋" w:eastAsia="仿宋" w:hAnsi="仿宋"/>
          <w:sz w:val="32"/>
          <w:szCs w:val="32"/>
        </w:rPr>
        <w:t>一、适用范围</w:t>
      </w:r>
      <w:r w:rsidRPr="00E83E55">
        <w:rPr>
          <w:rFonts w:ascii="仿宋" w:eastAsia="仿宋" w:hAnsi="仿宋"/>
          <w:sz w:val="32"/>
          <w:szCs w:val="32"/>
        </w:rPr>
        <w:br/>
        <w:t xml:space="preserve">　　本评审条件适用于在我省国有、非国有企、事业单位中，从事工程技术和农业技术研究、开发、推广的人员。</w:t>
      </w:r>
      <w:r w:rsidRPr="00E83E55">
        <w:rPr>
          <w:rFonts w:ascii="仿宋" w:eastAsia="仿宋" w:hAnsi="仿宋"/>
          <w:sz w:val="32"/>
          <w:szCs w:val="32"/>
        </w:rPr>
        <w:br/>
        <w:t xml:space="preserve">　　二、评审专业</w:t>
      </w:r>
      <w:r w:rsidRPr="00E83E55">
        <w:rPr>
          <w:rFonts w:ascii="仿宋" w:eastAsia="仿宋" w:hAnsi="仿宋"/>
          <w:sz w:val="32"/>
          <w:szCs w:val="32"/>
        </w:rPr>
        <w:br/>
        <w:t xml:space="preserve">　　教授、研究员级高级工程师评审专业：建筑、交通、机械、建材、电子电气、技术监督、冶金、化工、纺织、环保、测绘、地质、医药、粮食、综合等15个专业；</w:t>
      </w:r>
      <w:r w:rsidRPr="00E83E55">
        <w:rPr>
          <w:rFonts w:ascii="仿宋" w:eastAsia="仿宋" w:hAnsi="仿宋"/>
          <w:sz w:val="32"/>
          <w:szCs w:val="32"/>
        </w:rPr>
        <w:br/>
        <w:t xml:space="preserve">　　教授、研究员级高级农艺师评审专业：农学、植保、蚕学、蔬菜、果树、土壤农化、畜牧、兽医、林学、农机、水产、水利等12个专业。</w:t>
      </w:r>
      <w:r w:rsidRPr="00E83E55">
        <w:rPr>
          <w:rFonts w:ascii="仿宋" w:eastAsia="仿宋" w:hAnsi="仿宋"/>
          <w:sz w:val="32"/>
          <w:szCs w:val="32"/>
        </w:rPr>
        <w:br/>
        <w:t xml:space="preserve">　　三、申报及评审条件</w:t>
      </w:r>
      <w:r w:rsidRPr="00E83E55">
        <w:rPr>
          <w:rFonts w:ascii="仿宋" w:eastAsia="仿宋" w:hAnsi="仿宋"/>
          <w:sz w:val="32"/>
          <w:szCs w:val="32"/>
        </w:rPr>
        <w:br/>
        <w:t xml:space="preserve">　　（一）凡申报教授、研究员级高级工程师、高级农艺师任职资格评审人员，必须具备良好的职业道德和敬业精神，遵守中华人民共和国宪法和法律，且任职内年度考核综合结果达到合格。</w:t>
      </w:r>
      <w:r w:rsidRPr="00E83E55">
        <w:rPr>
          <w:rFonts w:ascii="仿宋" w:eastAsia="仿宋" w:hAnsi="仿宋"/>
          <w:sz w:val="32"/>
          <w:szCs w:val="32"/>
        </w:rPr>
        <w:br/>
      </w:r>
      <w:r w:rsidRPr="00E83E55">
        <w:rPr>
          <w:rFonts w:ascii="仿宋" w:eastAsia="仿宋" w:hAnsi="仿宋"/>
          <w:sz w:val="32"/>
          <w:szCs w:val="32"/>
        </w:rPr>
        <w:lastRenderedPageBreak/>
        <w:t xml:space="preserve">　　（二）学历、资历要求</w:t>
      </w:r>
      <w:r w:rsidRPr="00E83E55">
        <w:rPr>
          <w:rFonts w:ascii="仿宋" w:eastAsia="仿宋" w:hAnsi="仿宋"/>
          <w:sz w:val="32"/>
          <w:szCs w:val="32"/>
        </w:rPr>
        <w:br/>
        <w:t xml:space="preserve">　　1.大学本科以上学历或学士以上学位，取得高级工程师或高级农艺师资格5年以上。</w:t>
      </w:r>
      <w:r w:rsidRPr="00E83E55">
        <w:rPr>
          <w:rFonts w:ascii="仿宋" w:eastAsia="仿宋" w:hAnsi="仿宋"/>
          <w:sz w:val="32"/>
          <w:szCs w:val="32"/>
        </w:rPr>
        <w:br/>
        <w:t xml:space="preserve">　　2.虽不具备规定学历（学位），但取得高级工程师或高级农艺师5年以上；或具备规定学历（学位），取得高级工程师或高级农艺</w:t>
      </w:r>
      <w:proofErr w:type="gramStart"/>
      <w:r w:rsidRPr="00E83E55">
        <w:rPr>
          <w:rFonts w:ascii="仿宋" w:eastAsia="仿宋" w:hAnsi="仿宋"/>
          <w:sz w:val="32"/>
          <w:szCs w:val="32"/>
        </w:rPr>
        <w:t>师资格满3年</w:t>
      </w:r>
      <w:proofErr w:type="gramEnd"/>
      <w:r w:rsidRPr="00E83E55">
        <w:rPr>
          <w:rFonts w:ascii="仿宋" w:eastAsia="仿宋" w:hAnsi="仿宋"/>
          <w:sz w:val="32"/>
          <w:szCs w:val="32"/>
        </w:rPr>
        <w:t>，在达到正常晋升专业技术理论要求、工作经历与能力要求、论文和著作要求、外语、计算机要求的同时，工作业绩和成果符合下列条件之一，可破格晋升教授、研究员级高级工程师、高级农艺师：</w:t>
      </w:r>
      <w:r w:rsidRPr="00E83E55">
        <w:rPr>
          <w:rFonts w:ascii="仿宋" w:eastAsia="仿宋" w:hAnsi="仿宋"/>
          <w:sz w:val="32"/>
          <w:szCs w:val="32"/>
        </w:rPr>
        <w:br/>
        <w:t xml:space="preserve">　　（1）获国家科学技术奖、星火奖三等奖以上及相当奖励项目的等级内额定人员；</w:t>
      </w:r>
      <w:r w:rsidRPr="00E83E55">
        <w:rPr>
          <w:rFonts w:ascii="仿宋" w:eastAsia="仿宋" w:hAnsi="仿宋"/>
          <w:sz w:val="32"/>
          <w:szCs w:val="32"/>
        </w:rPr>
        <w:br/>
        <w:t xml:space="preserve">　　（2）获得省、部级科学技术奖、星火奖、新产品奖二等奖1项或三等奖2项及相当奖励项目的等级内额定人员；</w:t>
      </w:r>
      <w:r w:rsidRPr="00E83E55">
        <w:rPr>
          <w:rFonts w:ascii="仿宋" w:eastAsia="仿宋" w:hAnsi="仿宋"/>
          <w:sz w:val="32"/>
          <w:szCs w:val="32"/>
        </w:rPr>
        <w:br/>
        <w:t xml:space="preserve">　　（3）获得副省级市科学技术奖一等奖1项或二等奖2项的等级内额定人员；</w:t>
      </w:r>
      <w:r w:rsidRPr="00E83E55">
        <w:rPr>
          <w:rFonts w:ascii="仿宋" w:eastAsia="仿宋" w:hAnsi="仿宋"/>
          <w:sz w:val="32"/>
          <w:szCs w:val="32"/>
        </w:rPr>
        <w:br/>
        <w:t xml:space="preserve">　　（4）获市（厅）级科学技术奖一等奖2项的等级内额定人员。</w:t>
      </w:r>
      <w:r w:rsidRPr="00E83E55">
        <w:rPr>
          <w:rFonts w:ascii="仿宋" w:eastAsia="仿宋" w:hAnsi="仿宋"/>
          <w:sz w:val="32"/>
          <w:szCs w:val="32"/>
        </w:rPr>
        <w:br/>
        <w:t xml:space="preserve">　　（三）外语、计算机要求</w:t>
      </w:r>
      <w:r w:rsidRPr="00E83E55">
        <w:rPr>
          <w:rFonts w:ascii="仿宋" w:eastAsia="仿宋" w:hAnsi="仿宋"/>
          <w:sz w:val="32"/>
          <w:szCs w:val="32"/>
        </w:rPr>
        <w:br/>
        <w:t xml:space="preserve">　　1.申报教授、研究员级高级工程师、高级农艺师任职资格评审人员，需取得全国统一组织职称外语考试A级合格证书。申报高级工程师、高级农艺师已取得的职称外语A级合格证书可重复使用；符合免试条件人员，可免于参加职称外</w:t>
      </w:r>
      <w:r w:rsidRPr="00E83E55">
        <w:rPr>
          <w:rFonts w:ascii="仿宋" w:eastAsia="仿宋" w:hAnsi="仿宋"/>
          <w:sz w:val="32"/>
          <w:szCs w:val="32"/>
        </w:rPr>
        <w:lastRenderedPageBreak/>
        <w:t>语考试。</w:t>
      </w:r>
      <w:r w:rsidRPr="00E83E55">
        <w:rPr>
          <w:rFonts w:ascii="仿宋" w:eastAsia="仿宋" w:hAnsi="仿宋"/>
          <w:sz w:val="32"/>
          <w:szCs w:val="32"/>
        </w:rPr>
        <w:br/>
        <w:t xml:space="preserve">　　2.申报教授、研究员级高级工程师、高级农艺师任职资格评审人员，需取得省计算机应用能力高级证书或参加全国计算机应用能力两个模块考试合格。符合免试条件人员，可免于计算机应用能力考试。</w:t>
      </w:r>
      <w:r w:rsidRPr="00E83E55">
        <w:rPr>
          <w:rFonts w:ascii="仿宋" w:eastAsia="仿宋" w:hAnsi="仿宋"/>
          <w:sz w:val="32"/>
          <w:szCs w:val="32"/>
        </w:rPr>
        <w:br/>
        <w:t xml:space="preserve">　　（四）专业技术理论要求</w:t>
      </w:r>
      <w:r w:rsidRPr="00E83E55">
        <w:rPr>
          <w:rFonts w:ascii="仿宋" w:eastAsia="仿宋" w:hAnsi="仿宋"/>
          <w:sz w:val="32"/>
          <w:szCs w:val="32"/>
        </w:rPr>
        <w:br/>
        <w:t xml:space="preserve">　　1.系统掌握本专业理论和技术，了解相关专业及计算机应用等专业知识；</w:t>
      </w:r>
      <w:r w:rsidRPr="00E83E55">
        <w:rPr>
          <w:rFonts w:ascii="仿宋" w:eastAsia="仿宋" w:hAnsi="仿宋"/>
          <w:sz w:val="32"/>
          <w:szCs w:val="32"/>
        </w:rPr>
        <w:br/>
        <w:t xml:space="preserve">　　2.在本专业领域有较高的学术造诣，是省或市内本专业学术带头人，能够指导本专业高级技术人员的工作，或具有培训指导本专业硕士、博士研究生的能力；</w:t>
      </w:r>
      <w:r w:rsidRPr="00E83E55">
        <w:rPr>
          <w:rFonts w:ascii="仿宋" w:eastAsia="仿宋" w:hAnsi="仿宋"/>
          <w:sz w:val="32"/>
          <w:szCs w:val="32"/>
        </w:rPr>
        <w:br/>
        <w:t xml:space="preserve">　　3.熟悉本专业有关前沿技术在国内外的应用情况，对本专业理论有创造性研究，在省内同行业中有一定的知名度。</w:t>
      </w:r>
      <w:r w:rsidRPr="00E83E55">
        <w:rPr>
          <w:rFonts w:ascii="仿宋" w:eastAsia="仿宋" w:hAnsi="仿宋"/>
          <w:sz w:val="32"/>
          <w:szCs w:val="32"/>
        </w:rPr>
        <w:br/>
        <w:t xml:space="preserve">　　（五）工作经历和能力要求</w:t>
      </w:r>
      <w:r w:rsidRPr="00E83E55">
        <w:rPr>
          <w:rFonts w:ascii="仿宋" w:eastAsia="仿宋" w:hAnsi="仿宋"/>
          <w:sz w:val="32"/>
          <w:szCs w:val="32"/>
        </w:rPr>
        <w:br/>
        <w:t xml:space="preserve">　　需符合下列条件之一：</w:t>
      </w:r>
      <w:r w:rsidRPr="00E83E55">
        <w:rPr>
          <w:rFonts w:ascii="仿宋" w:eastAsia="仿宋" w:hAnsi="仿宋"/>
          <w:sz w:val="32"/>
          <w:szCs w:val="32"/>
        </w:rPr>
        <w:br/>
        <w:t xml:space="preserve">　　1.在省部级以上重大、重点科研项目和工程项目实施过程中，对解决重大技术问题起关键性作用，通过省部级鉴定（验收），并取得显著经济效益；</w:t>
      </w:r>
      <w:r w:rsidRPr="00E83E55">
        <w:rPr>
          <w:rFonts w:ascii="仿宋" w:eastAsia="仿宋" w:hAnsi="仿宋"/>
          <w:sz w:val="32"/>
          <w:szCs w:val="32"/>
        </w:rPr>
        <w:br/>
        <w:t xml:space="preserve">　　2.在研究开发、生产、推广实践中，有较大的技术性突破，解决过重大关键技术难题或填补国内同行业某一技术领域空白，并通过省部级鉴定（验收）；</w:t>
      </w:r>
      <w:r w:rsidRPr="00E83E55">
        <w:rPr>
          <w:rFonts w:ascii="仿宋" w:eastAsia="仿宋" w:hAnsi="仿宋"/>
          <w:sz w:val="32"/>
          <w:szCs w:val="32"/>
        </w:rPr>
        <w:br/>
        <w:t xml:space="preserve">　　3.在大型以上企业生产一线工作的工程技术人员，主持</w:t>
      </w:r>
      <w:r w:rsidRPr="00E83E55">
        <w:rPr>
          <w:rFonts w:ascii="仿宋" w:eastAsia="仿宋" w:hAnsi="仿宋"/>
          <w:sz w:val="32"/>
          <w:szCs w:val="32"/>
        </w:rPr>
        <w:lastRenderedPageBreak/>
        <w:t>完成国外引进大型先进成套（单机）设备或生产线的安装、调试的全过程，投入生产后，取得显著的经济效益；</w:t>
      </w:r>
      <w:r w:rsidRPr="00E83E55">
        <w:rPr>
          <w:rFonts w:ascii="仿宋" w:eastAsia="仿宋" w:hAnsi="仿宋"/>
          <w:sz w:val="32"/>
          <w:szCs w:val="32"/>
        </w:rPr>
        <w:br/>
        <w:t xml:space="preserve">　　4.主持新产品、新技术、新材料、新设备、新工艺等的设计、研发、开发、推广应用中，通过省部级鉴定（验收），取得显著的社会效益和经济效益；</w:t>
      </w:r>
      <w:r w:rsidRPr="00E83E55">
        <w:rPr>
          <w:rFonts w:ascii="仿宋" w:eastAsia="仿宋" w:hAnsi="仿宋"/>
          <w:sz w:val="32"/>
          <w:szCs w:val="32"/>
        </w:rPr>
        <w:br/>
        <w:t xml:space="preserve">　　5.将高新技术研究开发成果商品化、产业化，主持开发高新技术产品经过省级认定；组织完成高新技术产业化重点项目并通过验收；创立、领办高新技术企业通过省级认定。</w:t>
      </w:r>
      <w:r w:rsidRPr="00E83E55">
        <w:rPr>
          <w:rFonts w:ascii="仿宋" w:eastAsia="仿宋" w:hAnsi="仿宋"/>
          <w:sz w:val="32"/>
          <w:szCs w:val="32"/>
        </w:rPr>
        <w:br/>
        <w:t xml:space="preserve">　　（六）工作业绩和成果要求</w:t>
      </w:r>
      <w:r w:rsidRPr="00E83E55">
        <w:rPr>
          <w:rFonts w:ascii="仿宋" w:eastAsia="仿宋" w:hAnsi="仿宋"/>
          <w:sz w:val="32"/>
          <w:szCs w:val="32"/>
        </w:rPr>
        <w:br/>
        <w:t xml:space="preserve">　　需满足下列条件之一：</w:t>
      </w:r>
      <w:r w:rsidRPr="00E83E55">
        <w:rPr>
          <w:rFonts w:ascii="仿宋" w:eastAsia="仿宋" w:hAnsi="仿宋"/>
          <w:sz w:val="32"/>
          <w:szCs w:val="32"/>
        </w:rPr>
        <w:br/>
        <w:t xml:space="preserve">　　1.获国家科学技术奖、星火奖的等级内额定人员；</w:t>
      </w:r>
      <w:r w:rsidRPr="00E83E55">
        <w:rPr>
          <w:rFonts w:ascii="仿宋" w:eastAsia="仿宋" w:hAnsi="仿宋"/>
          <w:sz w:val="32"/>
          <w:szCs w:val="32"/>
        </w:rPr>
        <w:br/>
        <w:t xml:space="preserve">　　2.获得省、部级科学技术奖、星火奖、新产品奖三等奖以上的等级内额定人员；</w:t>
      </w:r>
      <w:r w:rsidRPr="00E83E55">
        <w:rPr>
          <w:rFonts w:ascii="仿宋" w:eastAsia="仿宋" w:hAnsi="仿宋"/>
          <w:sz w:val="32"/>
          <w:szCs w:val="32"/>
        </w:rPr>
        <w:br/>
        <w:t xml:space="preserve">　　3.获得副省级市科学技术奖二等奖，或市（厅）级科学技术奖一等奖的等级内额定人员；</w:t>
      </w:r>
      <w:r w:rsidRPr="00E83E55">
        <w:rPr>
          <w:rFonts w:ascii="仿宋" w:eastAsia="仿宋" w:hAnsi="仿宋"/>
          <w:sz w:val="32"/>
          <w:szCs w:val="32"/>
        </w:rPr>
        <w:br/>
        <w:t xml:space="preserve">　　4.获得1项以上国家发明专利或2项以上与本专业有关的国家实用新型专利，应用后取得显著的社会效益和经济效益；</w:t>
      </w:r>
      <w:r w:rsidRPr="00E83E55">
        <w:rPr>
          <w:rFonts w:ascii="仿宋" w:eastAsia="仿宋" w:hAnsi="仿宋"/>
          <w:sz w:val="32"/>
          <w:szCs w:val="32"/>
        </w:rPr>
        <w:br/>
        <w:t xml:space="preserve">　　5.在大型以上企业生产一线工作的工程技术人员，业绩突出，具创新技术成果，获得本企业科技进步一等奖二项以上的主持人，并将科技成果应用到本企业生产实践中，取得显著的社会效益和经济效益。</w:t>
      </w:r>
      <w:r w:rsidRPr="00E83E55">
        <w:rPr>
          <w:rFonts w:ascii="仿宋" w:eastAsia="仿宋" w:hAnsi="仿宋"/>
          <w:sz w:val="32"/>
          <w:szCs w:val="32"/>
        </w:rPr>
        <w:br/>
      </w:r>
      <w:r w:rsidRPr="00E83E55">
        <w:rPr>
          <w:rFonts w:ascii="仿宋" w:eastAsia="仿宋" w:hAnsi="仿宋"/>
          <w:sz w:val="32"/>
          <w:szCs w:val="32"/>
        </w:rPr>
        <w:lastRenderedPageBreak/>
        <w:t xml:space="preserve">　　（七）论文和著作要求</w:t>
      </w:r>
      <w:r w:rsidRPr="00E83E55">
        <w:rPr>
          <w:rFonts w:ascii="仿宋" w:eastAsia="仿宋" w:hAnsi="仿宋"/>
          <w:sz w:val="32"/>
          <w:szCs w:val="32"/>
        </w:rPr>
        <w:br/>
        <w:t xml:space="preserve">　　需符合下列条件之一：</w:t>
      </w:r>
      <w:r w:rsidRPr="00E83E55">
        <w:rPr>
          <w:rFonts w:ascii="仿宋" w:eastAsia="仿宋" w:hAnsi="仿宋"/>
          <w:sz w:val="32"/>
          <w:szCs w:val="32"/>
        </w:rPr>
        <w:br/>
        <w:t xml:space="preserve">　　1.本人撰写公开出版的全国性或省级本专业学术、技术教材20万字以上或主持编写省部级标准并已颁布执行；</w:t>
      </w:r>
      <w:r w:rsidRPr="00E83E55">
        <w:rPr>
          <w:rFonts w:ascii="仿宋" w:eastAsia="仿宋" w:hAnsi="仿宋"/>
          <w:sz w:val="32"/>
          <w:szCs w:val="32"/>
        </w:rPr>
        <w:br/>
        <w:t xml:space="preserve">　　2.在国家级学术刊物上发表高水平的论文3篇以上（至少有2篇为第一作者），或省级学术刊物上发表论文5篇以上（至少有3篇为第一作者）；</w:t>
      </w:r>
      <w:r w:rsidRPr="00E83E55">
        <w:rPr>
          <w:rFonts w:ascii="仿宋" w:eastAsia="仿宋" w:hAnsi="仿宋"/>
          <w:sz w:val="32"/>
          <w:szCs w:val="32"/>
        </w:rPr>
        <w:br/>
        <w:t xml:space="preserve">　　3.参加国际学术会议并提交学术论文3篇以上或参加全国性学术会议交流论文5篇以上；</w:t>
      </w:r>
      <w:r w:rsidRPr="00E83E55">
        <w:rPr>
          <w:rFonts w:ascii="仿宋" w:eastAsia="仿宋" w:hAnsi="仿宋"/>
          <w:sz w:val="32"/>
          <w:szCs w:val="32"/>
        </w:rPr>
        <w:br/>
        <w:t xml:space="preserve">　　4.正式出版过10万字以上专著或译著。</w:t>
      </w:r>
      <w:r w:rsidRPr="00E83E55">
        <w:rPr>
          <w:rFonts w:ascii="仿宋" w:eastAsia="仿宋" w:hAnsi="仿宋"/>
          <w:sz w:val="32"/>
          <w:szCs w:val="32"/>
        </w:rPr>
        <w:br/>
        <w:t xml:space="preserve">　　四、其他事项</w:t>
      </w:r>
      <w:r w:rsidRPr="00E83E55">
        <w:rPr>
          <w:rFonts w:ascii="仿宋" w:eastAsia="仿宋" w:hAnsi="仿宋"/>
          <w:sz w:val="32"/>
          <w:szCs w:val="32"/>
        </w:rPr>
        <w:br/>
        <w:t xml:space="preserve">　　（一）本评审标准所规定的学历、资历、专业技术理论、工作经历和能力、工作业绩和成果、论文和著作、外语和计算机要求必须同时具备。</w:t>
      </w:r>
      <w:r w:rsidRPr="00E83E55">
        <w:rPr>
          <w:rFonts w:ascii="仿宋" w:eastAsia="仿宋" w:hAnsi="仿宋"/>
          <w:sz w:val="32"/>
          <w:szCs w:val="32"/>
        </w:rPr>
        <w:br/>
        <w:t xml:space="preserve">　　（二）本评审标准涉及的业绩、成果、论文和著作，均为任现职以来取得的。不具备高级专业技术资格，符合一步到位参加教授、研究员级高级专业技术评审人员，学历、资历需满足博士毕业满7年、或硕士毕业满12年、或本科毕业满15年的要求。业绩、成果、论文和著作主要以近5年取得的为依据。</w:t>
      </w:r>
      <w:r w:rsidRPr="00E83E55">
        <w:rPr>
          <w:rFonts w:ascii="仿宋" w:eastAsia="仿宋" w:hAnsi="仿宋"/>
          <w:sz w:val="32"/>
          <w:szCs w:val="32"/>
        </w:rPr>
        <w:br/>
        <w:t xml:space="preserve">　　（三）申报人员提供的论文应是经国家或省新闻出版行政部门批准，并公开出版发行的学术刊物上发表的本专业或</w:t>
      </w:r>
      <w:r w:rsidRPr="00E83E55">
        <w:rPr>
          <w:rFonts w:ascii="仿宋" w:eastAsia="仿宋" w:hAnsi="仿宋"/>
          <w:sz w:val="32"/>
          <w:szCs w:val="32"/>
        </w:rPr>
        <w:lastRenderedPageBreak/>
        <w:t>相近专业的论文，非本专业和相近专业的论文不能按所晋升职称系列或专业论文对待。获奖证书应是本专业或相近专业的奖励项目，非本专业和相近专业的奖励项目不能按晋升系列或专业奖励项目对待。</w:t>
      </w:r>
      <w:r w:rsidRPr="00E83E55">
        <w:rPr>
          <w:rFonts w:ascii="仿宋" w:eastAsia="仿宋" w:hAnsi="仿宋"/>
          <w:sz w:val="32"/>
          <w:szCs w:val="32"/>
        </w:rPr>
        <w:br/>
        <w:t xml:space="preserve">　　（四）专业技术人员所学专业与申报评审专业不相近的，需具有评审专业的继续教育证明。</w:t>
      </w:r>
      <w:r w:rsidRPr="00E83E55">
        <w:rPr>
          <w:rFonts w:ascii="仿宋" w:eastAsia="仿宋" w:hAnsi="仿宋"/>
          <w:sz w:val="32"/>
          <w:szCs w:val="32"/>
        </w:rPr>
        <w:br/>
        <w:t xml:space="preserve">　　（五）本评审标准自下发之日起执行，原评审相关条件与本标准不一致的，以本标准为准。</w:t>
      </w:r>
      <w:r w:rsidRPr="00E83E55">
        <w:rPr>
          <w:rFonts w:ascii="仿宋" w:eastAsia="仿宋" w:hAnsi="仿宋"/>
          <w:sz w:val="32"/>
          <w:szCs w:val="32"/>
        </w:rPr>
        <w:br/>
        <w:t xml:space="preserve">　　（六）本评审标准由省人事厅负责解释。</w:t>
      </w:r>
    </w:p>
    <w:p w:rsidR="005B2F25" w:rsidRPr="00E83E55" w:rsidRDefault="005B2F25">
      <w:pPr>
        <w:rPr>
          <w:rFonts w:ascii="仿宋" w:eastAsia="仿宋" w:hAnsi="仿宋"/>
          <w:sz w:val="32"/>
          <w:szCs w:val="32"/>
        </w:rPr>
      </w:pPr>
    </w:p>
    <w:sectPr w:rsidR="005B2F25" w:rsidRPr="00E83E55" w:rsidSect="005B2F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E55" w:rsidRDefault="00E83E55" w:rsidP="00E83E55">
      <w:r>
        <w:separator/>
      </w:r>
    </w:p>
  </w:endnote>
  <w:endnote w:type="continuationSeparator" w:id="1">
    <w:p w:rsidR="00E83E55" w:rsidRDefault="00E83E55" w:rsidP="00E83E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E55" w:rsidRDefault="00E83E55" w:rsidP="00E83E55">
      <w:r>
        <w:separator/>
      </w:r>
    </w:p>
  </w:footnote>
  <w:footnote w:type="continuationSeparator" w:id="1">
    <w:p w:rsidR="00E83E55" w:rsidRDefault="00E83E55" w:rsidP="00E83E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3E55"/>
    <w:rsid w:val="005B2F25"/>
    <w:rsid w:val="009B2A0B"/>
    <w:rsid w:val="00E83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F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3E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3E55"/>
    <w:rPr>
      <w:sz w:val="18"/>
      <w:szCs w:val="18"/>
    </w:rPr>
  </w:style>
  <w:style w:type="paragraph" w:styleId="a4">
    <w:name w:val="footer"/>
    <w:basedOn w:val="a"/>
    <w:link w:val="Char0"/>
    <w:uiPriority w:val="99"/>
    <w:semiHidden/>
    <w:unhideWhenUsed/>
    <w:rsid w:val="00E83E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3E55"/>
    <w:rPr>
      <w:sz w:val="18"/>
      <w:szCs w:val="18"/>
    </w:rPr>
  </w:style>
</w:styles>
</file>

<file path=word/webSettings.xml><?xml version="1.0" encoding="utf-8"?>
<w:webSettings xmlns:r="http://schemas.openxmlformats.org/officeDocument/2006/relationships" xmlns:w="http://schemas.openxmlformats.org/wordprocessingml/2006/main">
  <w:divs>
    <w:div w:id="187060299">
      <w:bodyDiv w:val="1"/>
      <w:marLeft w:val="0"/>
      <w:marRight w:val="0"/>
      <w:marTop w:val="0"/>
      <w:marBottom w:val="0"/>
      <w:divBdr>
        <w:top w:val="none" w:sz="0" w:space="0" w:color="auto"/>
        <w:left w:val="none" w:sz="0" w:space="0" w:color="auto"/>
        <w:bottom w:val="none" w:sz="0" w:space="0" w:color="auto"/>
        <w:right w:val="none" w:sz="0" w:space="0" w:color="auto"/>
      </w:divBdr>
      <w:divsChild>
        <w:div w:id="1450078006">
          <w:marLeft w:val="0"/>
          <w:marRight w:val="0"/>
          <w:marTop w:val="0"/>
          <w:marBottom w:val="0"/>
          <w:divBdr>
            <w:top w:val="none" w:sz="0" w:space="0" w:color="auto"/>
            <w:left w:val="none" w:sz="0" w:space="0" w:color="auto"/>
            <w:bottom w:val="none" w:sz="0" w:space="0" w:color="auto"/>
            <w:right w:val="none" w:sz="0" w:space="0" w:color="auto"/>
          </w:divBdr>
          <w:divsChild>
            <w:div w:id="553198089">
              <w:marLeft w:val="0"/>
              <w:marRight w:val="0"/>
              <w:marTop w:val="0"/>
              <w:marBottom w:val="0"/>
              <w:divBdr>
                <w:top w:val="none" w:sz="0" w:space="0" w:color="auto"/>
                <w:left w:val="none" w:sz="0" w:space="0" w:color="auto"/>
                <w:bottom w:val="none" w:sz="0" w:space="0" w:color="auto"/>
                <w:right w:val="none" w:sz="0" w:space="0" w:color="auto"/>
              </w:divBdr>
              <w:divsChild>
                <w:div w:id="1406225140">
                  <w:marLeft w:val="0"/>
                  <w:marRight w:val="0"/>
                  <w:marTop w:val="0"/>
                  <w:marBottom w:val="0"/>
                  <w:divBdr>
                    <w:top w:val="none" w:sz="0" w:space="0" w:color="auto"/>
                    <w:left w:val="none" w:sz="0" w:space="0" w:color="auto"/>
                    <w:bottom w:val="none" w:sz="0" w:space="0" w:color="auto"/>
                    <w:right w:val="none" w:sz="0" w:space="0" w:color="auto"/>
                  </w:divBdr>
                  <w:divsChild>
                    <w:div w:id="943880142">
                      <w:marLeft w:val="0"/>
                      <w:marRight w:val="0"/>
                      <w:marTop w:val="0"/>
                      <w:marBottom w:val="0"/>
                      <w:divBdr>
                        <w:top w:val="none" w:sz="0" w:space="0" w:color="auto"/>
                        <w:left w:val="none" w:sz="0" w:space="0" w:color="auto"/>
                        <w:bottom w:val="none" w:sz="0" w:space="0" w:color="auto"/>
                        <w:right w:val="none" w:sz="0" w:space="0" w:color="auto"/>
                      </w:divBdr>
                    </w:div>
                    <w:div w:id="1015765728">
                      <w:marLeft w:val="0"/>
                      <w:marRight w:val="0"/>
                      <w:marTop w:val="0"/>
                      <w:marBottom w:val="0"/>
                      <w:divBdr>
                        <w:top w:val="none" w:sz="0" w:space="0" w:color="auto"/>
                        <w:left w:val="none" w:sz="0" w:space="0" w:color="auto"/>
                        <w:bottom w:val="none" w:sz="0" w:space="0" w:color="auto"/>
                        <w:right w:val="none" w:sz="0" w:space="0" w:color="auto"/>
                      </w:divBdr>
                    </w:div>
                    <w:div w:id="14251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77600">
      <w:bodyDiv w:val="1"/>
      <w:marLeft w:val="0"/>
      <w:marRight w:val="0"/>
      <w:marTop w:val="0"/>
      <w:marBottom w:val="0"/>
      <w:divBdr>
        <w:top w:val="none" w:sz="0" w:space="0" w:color="auto"/>
        <w:left w:val="none" w:sz="0" w:space="0" w:color="auto"/>
        <w:bottom w:val="none" w:sz="0" w:space="0" w:color="auto"/>
        <w:right w:val="none" w:sz="0" w:space="0" w:color="auto"/>
      </w:divBdr>
      <w:divsChild>
        <w:div w:id="98332180">
          <w:marLeft w:val="0"/>
          <w:marRight w:val="0"/>
          <w:marTop w:val="0"/>
          <w:marBottom w:val="0"/>
          <w:divBdr>
            <w:top w:val="none" w:sz="0" w:space="0" w:color="auto"/>
            <w:left w:val="none" w:sz="0" w:space="0" w:color="auto"/>
            <w:bottom w:val="none" w:sz="0" w:space="0" w:color="auto"/>
            <w:right w:val="none" w:sz="0" w:space="0" w:color="auto"/>
          </w:divBdr>
          <w:divsChild>
            <w:div w:id="1579830728">
              <w:marLeft w:val="0"/>
              <w:marRight w:val="0"/>
              <w:marTop w:val="0"/>
              <w:marBottom w:val="0"/>
              <w:divBdr>
                <w:top w:val="none" w:sz="0" w:space="0" w:color="auto"/>
                <w:left w:val="none" w:sz="0" w:space="0" w:color="auto"/>
                <w:bottom w:val="none" w:sz="0" w:space="0" w:color="auto"/>
                <w:right w:val="none" w:sz="0" w:space="0" w:color="auto"/>
              </w:divBdr>
              <w:divsChild>
                <w:div w:id="253051627">
                  <w:marLeft w:val="0"/>
                  <w:marRight w:val="0"/>
                  <w:marTop w:val="0"/>
                  <w:marBottom w:val="0"/>
                  <w:divBdr>
                    <w:top w:val="none" w:sz="0" w:space="0" w:color="auto"/>
                    <w:left w:val="none" w:sz="0" w:space="0" w:color="auto"/>
                    <w:bottom w:val="none" w:sz="0" w:space="0" w:color="auto"/>
                    <w:right w:val="none" w:sz="0" w:space="0" w:color="auto"/>
                  </w:divBdr>
                  <w:divsChild>
                    <w:div w:id="247663411">
                      <w:marLeft w:val="0"/>
                      <w:marRight w:val="0"/>
                      <w:marTop w:val="0"/>
                      <w:marBottom w:val="0"/>
                      <w:divBdr>
                        <w:top w:val="none" w:sz="0" w:space="0" w:color="auto"/>
                        <w:left w:val="none" w:sz="0" w:space="0" w:color="auto"/>
                        <w:bottom w:val="none" w:sz="0" w:space="0" w:color="auto"/>
                        <w:right w:val="none" w:sz="0" w:space="0" w:color="auto"/>
                      </w:divBdr>
                    </w:div>
                    <w:div w:id="616453788">
                      <w:marLeft w:val="0"/>
                      <w:marRight w:val="0"/>
                      <w:marTop w:val="0"/>
                      <w:marBottom w:val="0"/>
                      <w:divBdr>
                        <w:top w:val="none" w:sz="0" w:space="0" w:color="auto"/>
                        <w:left w:val="none" w:sz="0" w:space="0" w:color="auto"/>
                        <w:bottom w:val="none" w:sz="0" w:space="0" w:color="auto"/>
                        <w:right w:val="none" w:sz="0" w:space="0" w:color="auto"/>
                      </w:divBdr>
                    </w:div>
                    <w:div w:id="8894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379</Words>
  <Characters>2164</Characters>
  <Application>Microsoft Office Word</Application>
  <DocSecurity>0</DocSecurity>
  <Lines>18</Lines>
  <Paragraphs>5</Paragraphs>
  <ScaleCrop>false</ScaleCrop>
  <Company>Lenovo</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季奎</dc:creator>
  <cp:keywords/>
  <dc:description/>
  <cp:lastModifiedBy>季奎</cp:lastModifiedBy>
  <cp:revision>7</cp:revision>
  <dcterms:created xsi:type="dcterms:W3CDTF">2017-10-12T01:20:00Z</dcterms:created>
  <dcterms:modified xsi:type="dcterms:W3CDTF">2017-10-12T01:23:00Z</dcterms:modified>
</cp:coreProperties>
</file>